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88" w:rsidRPr="00581BAA" w:rsidRDefault="00B40598" w:rsidP="00581BAA">
      <w:pPr>
        <w:spacing w:after="0" w:line="259" w:lineRule="auto"/>
        <w:ind w:left="15" w:right="0" w:firstLine="0"/>
        <w:jc w:val="center"/>
        <w:rPr>
          <w:sz w:val="56"/>
          <w:szCs w:val="56"/>
        </w:rPr>
      </w:pPr>
      <w:r w:rsidRPr="00581BAA">
        <w:rPr>
          <w:b/>
          <w:color w:val="B92E27"/>
          <w:sz w:val="56"/>
          <w:szCs w:val="56"/>
        </w:rPr>
        <w:t>OZNAMOVACÍ SYSTÉM KONCERNU SCHWAN-STABILO</w:t>
      </w:r>
    </w:p>
    <w:p w:rsidR="00CC6088" w:rsidRPr="00581BAA" w:rsidRDefault="00B40598">
      <w:pPr>
        <w:spacing w:after="308" w:line="239" w:lineRule="auto"/>
        <w:ind w:left="-5" w:right="187"/>
        <w:jc w:val="both"/>
        <w:rPr>
          <w:sz w:val="24"/>
          <w:szCs w:val="24"/>
        </w:rPr>
      </w:pPr>
      <w:r w:rsidRPr="00581BAA">
        <w:rPr>
          <w:sz w:val="24"/>
          <w:szCs w:val="24"/>
        </w:rPr>
        <w:t xml:space="preserve">Dodržování zákonů, pravidel a interních předpisů má v koncernu </w:t>
      </w:r>
      <w:proofErr w:type="spellStart"/>
      <w:r w:rsidRPr="00581BAA">
        <w:rPr>
          <w:sz w:val="24"/>
          <w:szCs w:val="24"/>
        </w:rPr>
        <w:t>Schwan</w:t>
      </w:r>
      <w:proofErr w:type="spellEnd"/>
      <w:r w:rsidRPr="00581BAA">
        <w:rPr>
          <w:sz w:val="24"/>
          <w:szCs w:val="24"/>
        </w:rPr>
        <w:t>-STABILO nejvyšší prioritu. Oznámení o jejich případném porušení může zabránit škodám, které by mohly vzniknout jak naší společnosti a jejím zaměstnancům, tak obchodním partnerům. Je důležité odhalit případné porušení předpisů včas a řešit je, abychom ochránili nejen naši společnost, ale i vás zaměstnance.</w:t>
      </w:r>
    </w:p>
    <w:p w:rsidR="00CC6088" w:rsidRPr="00581BAA" w:rsidRDefault="00B40598">
      <w:pPr>
        <w:spacing w:after="381" w:line="239" w:lineRule="auto"/>
        <w:ind w:left="-5" w:right="187"/>
        <w:jc w:val="both"/>
        <w:rPr>
          <w:sz w:val="24"/>
          <w:szCs w:val="24"/>
        </w:rPr>
      </w:pPr>
      <w:r w:rsidRPr="00581BAA">
        <w:rPr>
          <w:sz w:val="24"/>
          <w:szCs w:val="24"/>
        </w:rPr>
        <w:t>Při oznámení správních nebo trestných činů (např. podvodu, korupce, krádeže), hrubého porušení povinností vyplývajících z pracovněprávních předpisů a dalšího porušování zákonných nebo interních předpisů, jsou všichni zaměstnanci chráněni směrnicí EU (2019/1937) před případnými sankcemi, kterých byste se mohli obávat (např. vytýkací dopis nebo propuštění).</w:t>
      </w:r>
    </w:p>
    <w:p w:rsidR="00CC6088" w:rsidRDefault="00B40598">
      <w:pPr>
        <w:spacing w:after="0" w:line="259" w:lineRule="auto"/>
        <w:ind w:left="-5" w:right="196"/>
      </w:pPr>
      <w:r>
        <w:rPr>
          <w:sz w:val="32"/>
        </w:rPr>
        <w:t>Své podněty můžete sdělit:</w:t>
      </w:r>
    </w:p>
    <w:p w:rsidR="00CC6088" w:rsidRPr="00581BAA" w:rsidRDefault="00B40598">
      <w:pPr>
        <w:numPr>
          <w:ilvl w:val="0"/>
          <w:numId w:val="1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osobně svému přímému nadřízenému,</w:t>
      </w:r>
    </w:p>
    <w:p w:rsidR="00CC6088" w:rsidRDefault="00B40598">
      <w:pPr>
        <w:numPr>
          <w:ilvl w:val="0"/>
          <w:numId w:val="1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 xml:space="preserve">anonymně písemnou formou prostřednictvím Schránek </w:t>
      </w:r>
      <w:r w:rsidR="00581BAA">
        <w:rPr>
          <w:sz w:val="24"/>
          <w:szCs w:val="24"/>
        </w:rPr>
        <w:t>pro interní komunikaci</w:t>
      </w:r>
      <w:r w:rsidR="002E0BEF">
        <w:rPr>
          <w:sz w:val="24"/>
          <w:szCs w:val="24"/>
        </w:rPr>
        <w:t>.</w:t>
      </w:r>
    </w:p>
    <w:p w:rsidR="002E0BEF" w:rsidRPr="00581BAA" w:rsidRDefault="002E0BEF" w:rsidP="002E0BEF">
      <w:pPr>
        <w:ind w:left="720" w:right="196" w:firstLine="0"/>
        <w:rPr>
          <w:sz w:val="24"/>
          <w:szCs w:val="24"/>
        </w:rPr>
      </w:pPr>
    </w:p>
    <w:p w:rsidR="00CC6088" w:rsidRDefault="00B40598">
      <w:pPr>
        <w:pStyle w:val="Nadpis1"/>
      </w:pPr>
      <w:r>
        <w:t xml:space="preserve">Nové možnosti oznamování v koncernu </w:t>
      </w:r>
      <w:proofErr w:type="spellStart"/>
      <w:r>
        <w:t>Schwan</w:t>
      </w:r>
      <w:proofErr w:type="spellEnd"/>
      <w:r>
        <w:t>-STABILO</w:t>
      </w:r>
      <w:r>
        <w:rPr>
          <w:b/>
          <w:color w:val="181717"/>
        </w:rPr>
        <w:t xml:space="preserve"> </w:t>
      </w:r>
    </w:p>
    <w:p w:rsidR="00CC6088" w:rsidRPr="00581BAA" w:rsidRDefault="00B40598">
      <w:pPr>
        <w:spacing w:after="280"/>
        <w:ind w:left="-5" w:right="196"/>
        <w:rPr>
          <w:sz w:val="24"/>
          <w:szCs w:val="24"/>
        </w:rPr>
      </w:pPr>
      <w:r w:rsidRPr="00581BAA">
        <w:rPr>
          <w:sz w:val="24"/>
          <w:szCs w:val="24"/>
        </w:rPr>
        <w:t>S okamžitou platností byly do našeho systému oznamování případného porušení předpisů, přidány dva další komunikační kanály.</w:t>
      </w:r>
    </w:p>
    <w:p w:rsidR="00CC6088" w:rsidRPr="00581BAA" w:rsidRDefault="00B40598">
      <w:pPr>
        <w:spacing w:after="617"/>
        <w:ind w:left="-5" w:right="196"/>
        <w:rPr>
          <w:sz w:val="24"/>
          <w:szCs w:val="24"/>
        </w:rPr>
      </w:pPr>
      <w:r w:rsidRPr="00581BAA">
        <w:rPr>
          <w:sz w:val="24"/>
          <w:szCs w:val="24"/>
        </w:rPr>
        <w:t xml:space="preserve">Prvním z nich je externí advokátní kancelář FS-PP v Berlíně, kterou zastupují Dr. Rainer Frank a Dr. </w:t>
      </w:r>
      <w:proofErr w:type="spellStart"/>
      <w:r w:rsidRPr="00581BAA">
        <w:rPr>
          <w:sz w:val="24"/>
          <w:szCs w:val="24"/>
        </w:rPr>
        <w:t>Leonie</w:t>
      </w:r>
      <w:proofErr w:type="spellEnd"/>
      <w:r w:rsidRPr="00581BAA">
        <w:rPr>
          <w:sz w:val="24"/>
          <w:szCs w:val="24"/>
        </w:rPr>
        <w:t xml:space="preserve"> </w:t>
      </w:r>
      <w:proofErr w:type="spellStart"/>
      <w:r w:rsidRPr="00581BAA">
        <w:rPr>
          <w:sz w:val="24"/>
          <w:szCs w:val="24"/>
        </w:rPr>
        <w:t>Lo</w:t>
      </w:r>
      <w:proofErr w:type="spellEnd"/>
      <w:r w:rsidRPr="00581BAA">
        <w:rPr>
          <w:sz w:val="24"/>
          <w:szCs w:val="24"/>
        </w:rPr>
        <w:t xml:space="preserve"> Re. Oznamovatelé se na ně mohou kdykoliv obrátit a případně též využít jejich poradenských služeb.</w:t>
      </w:r>
    </w:p>
    <w:p w:rsidR="00CC6088" w:rsidRPr="00581BAA" w:rsidRDefault="00B40598">
      <w:pPr>
        <w:tabs>
          <w:tab w:val="center" w:pos="3529"/>
        </w:tabs>
        <w:spacing w:after="4" w:line="255" w:lineRule="auto"/>
        <w:ind w:left="-15" w:right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6370862</wp:posOffset>
            </wp:positionH>
            <wp:positionV relativeFrom="paragraph">
              <wp:posOffset>54749</wp:posOffset>
            </wp:positionV>
            <wp:extent cx="2256780" cy="827658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780" cy="8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AA">
        <w:rPr>
          <w:color w:val="737473"/>
        </w:rPr>
        <w:t xml:space="preserve"> </w:t>
      </w:r>
      <w:r w:rsidR="00581BAA">
        <w:rPr>
          <w:color w:val="737473"/>
        </w:rPr>
        <w:tab/>
      </w:r>
      <w:r w:rsidRPr="00581BAA">
        <w:rPr>
          <w:color w:val="737473"/>
          <w:sz w:val="24"/>
          <w:szCs w:val="24"/>
        </w:rPr>
        <w:t xml:space="preserve">Dr. Rainer Frank a Dr. </w:t>
      </w:r>
      <w:proofErr w:type="spellStart"/>
      <w:r w:rsidRPr="00581BAA">
        <w:rPr>
          <w:color w:val="737473"/>
          <w:sz w:val="24"/>
          <w:szCs w:val="24"/>
        </w:rPr>
        <w:t>Leonie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Lo</w:t>
      </w:r>
      <w:proofErr w:type="spellEnd"/>
      <w:r w:rsidRPr="00581BAA">
        <w:rPr>
          <w:color w:val="737473"/>
          <w:sz w:val="24"/>
          <w:szCs w:val="24"/>
        </w:rPr>
        <w:t xml:space="preserve"> Re</w:t>
      </w:r>
    </w:p>
    <w:p w:rsidR="00CC6088" w:rsidRPr="00581BAA" w:rsidRDefault="00B40598">
      <w:pPr>
        <w:tabs>
          <w:tab w:val="center" w:pos="3427"/>
        </w:tabs>
        <w:spacing w:after="4" w:line="255" w:lineRule="auto"/>
        <w:ind w:left="-15" w:right="0" w:firstLine="0"/>
        <w:rPr>
          <w:sz w:val="24"/>
          <w:szCs w:val="24"/>
        </w:rPr>
      </w:pPr>
      <w:r w:rsidRPr="00581BAA">
        <w:rPr>
          <w:color w:val="737473"/>
          <w:sz w:val="24"/>
          <w:szCs w:val="24"/>
        </w:rPr>
        <w:t xml:space="preserve"> </w:t>
      </w:r>
      <w:r w:rsidRPr="00581BAA">
        <w:rPr>
          <w:color w:val="737473"/>
          <w:sz w:val="24"/>
          <w:szCs w:val="24"/>
        </w:rPr>
        <w:tab/>
      </w:r>
      <w:r w:rsidR="00581BAA">
        <w:rPr>
          <w:color w:val="737473"/>
          <w:sz w:val="24"/>
          <w:szCs w:val="24"/>
        </w:rPr>
        <w:t xml:space="preserve">  </w:t>
      </w:r>
      <w:proofErr w:type="spellStart"/>
      <w:r w:rsidRPr="00581BAA">
        <w:rPr>
          <w:color w:val="737473"/>
          <w:sz w:val="24"/>
          <w:szCs w:val="24"/>
        </w:rPr>
        <w:t>Specialist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lawyers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for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criminal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law</w:t>
      </w:r>
      <w:proofErr w:type="spellEnd"/>
    </w:p>
    <w:p w:rsidR="00CC6088" w:rsidRPr="00581BAA" w:rsidRDefault="00B40598">
      <w:pPr>
        <w:tabs>
          <w:tab w:val="center" w:pos="3694"/>
        </w:tabs>
        <w:spacing w:after="4" w:line="255" w:lineRule="auto"/>
        <w:ind w:left="-15" w:right="0" w:firstLine="0"/>
        <w:rPr>
          <w:sz w:val="24"/>
          <w:szCs w:val="24"/>
        </w:rPr>
      </w:pPr>
      <w:r w:rsidRPr="00581BAA">
        <w:rPr>
          <w:color w:val="737473"/>
          <w:sz w:val="24"/>
          <w:szCs w:val="24"/>
        </w:rPr>
        <w:t xml:space="preserve"> </w:t>
      </w:r>
      <w:r w:rsidRPr="00581BAA">
        <w:rPr>
          <w:color w:val="737473"/>
          <w:sz w:val="24"/>
          <w:szCs w:val="24"/>
        </w:rPr>
        <w:tab/>
      </w:r>
      <w:proofErr w:type="spellStart"/>
      <w:r w:rsidRPr="00581BAA">
        <w:rPr>
          <w:color w:val="737473"/>
          <w:sz w:val="24"/>
          <w:szCs w:val="24"/>
        </w:rPr>
        <w:t>Potsdamer</w:t>
      </w:r>
      <w:proofErr w:type="spellEnd"/>
      <w:r w:rsidRPr="00581BAA">
        <w:rPr>
          <w:color w:val="737473"/>
          <w:sz w:val="24"/>
          <w:szCs w:val="24"/>
        </w:rPr>
        <w:t xml:space="preserve"> </w:t>
      </w:r>
      <w:proofErr w:type="spellStart"/>
      <w:r w:rsidRPr="00581BAA">
        <w:rPr>
          <w:color w:val="737473"/>
          <w:sz w:val="24"/>
          <w:szCs w:val="24"/>
        </w:rPr>
        <w:t>Platz</w:t>
      </w:r>
      <w:proofErr w:type="spellEnd"/>
      <w:r w:rsidRPr="00581BAA">
        <w:rPr>
          <w:color w:val="737473"/>
          <w:sz w:val="24"/>
          <w:szCs w:val="24"/>
        </w:rPr>
        <w:t xml:space="preserve"> 8, 101 17 </w:t>
      </w:r>
      <w:proofErr w:type="spellStart"/>
      <w:r w:rsidRPr="00581BAA">
        <w:rPr>
          <w:color w:val="737473"/>
          <w:sz w:val="24"/>
          <w:szCs w:val="24"/>
        </w:rPr>
        <w:t>Berlin</w:t>
      </w:r>
      <w:proofErr w:type="spellEnd"/>
      <w:r w:rsidRPr="00581BAA">
        <w:rPr>
          <w:color w:val="737473"/>
          <w:sz w:val="24"/>
          <w:szCs w:val="24"/>
        </w:rPr>
        <w:t>, GER</w:t>
      </w:r>
    </w:p>
    <w:p w:rsidR="00CC6088" w:rsidRPr="00581BAA" w:rsidRDefault="00B40598">
      <w:pPr>
        <w:spacing w:after="585" w:line="255" w:lineRule="auto"/>
        <w:ind w:left="-5" w:right="2426"/>
        <w:rPr>
          <w:sz w:val="24"/>
          <w:szCs w:val="24"/>
        </w:rPr>
      </w:pPr>
      <w:r w:rsidRPr="00581BAA">
        <w:rPr>
          <w:color w:val="737473"/>
          <w:sz w:val="24"/>
          <w:szCs w:val="24"/>
        </w:rPr>
        <w:t xml:space="preserve"> </w:t>
      </w:r>
      <w:r w:rsidRPr="00581BAA">
        <w:rPr>
          <w:color w:val="737473"/>
          <w:sz w:val="24"/>
          <w:szCs w:val="24"/>
        </w:rPr>
        <w:tab/>
      </w:r>
      <w:r w:rsidR="00581BAA">
        <w:rPr>
          <w:color w:val="737473"/>
          <w:sz w:val="24"/>
          <w:szCs w:val="24"/>
        </w:rPr>
        <w:tab/>
        <w:t xml:space="preserve">        </w:t>
      </w:r>
      <w:r w:rsidRPr="00581BAA">
        <w:rPr>
          <w:color w:val="737473"/>
          <w:sz w:val="24"/>
          <w:szCs w:val="24"/>
        </w:rPr>
        <w:t xml:space="preserve">+490 303 186 859 28  </w:t>
      </w:r>
      <w:r w:rsidRPr="00581BAA">
        <w:rPr>
          <w:color w:val="737473"/>
          <w:sz w:val="24"/>
          <w:szCs w:val="24"/>
        </w:rPr>
        <w:tab/>
        <w:t>ombudsperson-schwan-stabilo@fs-pp.</w:t>
      </w:r>
      <w:proofErr w:type="gramStart"/>
      <w:r w:rsidRPr="00581BAA">
        <w:rPr>
          <w:color w:val="737473"/>
          <w:sz w:val="24"/>
          <w:szCs w:val="24"/>
        </w:rPr>
        <w:t>de</w:t>
      </w:r>
      <w:proofErr w:type="gramEnd"/>
    </w:p>
    <w:p w:rsidR="00CC6088" w:rsidRPr="00581BAA" w:rsidRDefault="00B40598">
      <w:pPr>
        <w:spacing w:after="308" w:line="239" w:lineRule="auto"/>
        <w:ind w:left="-5" w:right="187"/>
        <w:jc w:val="both"/>
        <w:rPr>
          <w:sz w:val="24"/>
          <w:szCs w:val="24"/>
        </w:rPr>
      </w:pPr>
      <w:r w:rsidRPr="00581BAA">
        <w:rPr>
          <w:sz w:val="24"/>
          <w:szCs w:val="24"/>
        </w:rPr>
        <w:t>Druhým je systém BKMS</w:t>
      </w:r>
      <w:r w:rsidRPr="00581BAA">
        <w:rPr>
          <w:b/>
          <w:sz w:val="24"/>
          <w:szCs w:val="24"/>
          <w:vertAlign w:val="superscript"/>
        </w:rPr>
        <w:t>®</w:t>
      </w:r>
      <w:r w:rsidRPr="00581BAA">
        <w:rPr>
          <w:sz w:val="24"/>
          <w:szCs w:val="24"/>
        </w:rPr>
        <w:t xml:space="preserve"> od společnosti Business </w:t>
      </w:r>
      <w:proofErr w:type="spellStart"/>
      <w:r w:rsidRPr="00581BAA">
        <w:rPr>
          <w:sz w:val="24"/>
          <w:szCs w:val="24"/>
        </w:rPr>
        <w:t>Keeper</w:t>
      </w:r>
      <w:proofErr w:type="spellEnd"/>
      <w:r w:rsidRPr="00581BAA">
        <w:rPr>
          <w:sz w:val="24"/>
          <w:szCs w:val="24"/>
        </w:rPr>
        <w:t xml:space="preserve"> AG. Úspěšně jej používá mnoho velkých společností, organizací a dokonce i některé policejní složky. Tato oznámení se podávají prostřednictvím internetu a mohou být podána zcela anonymně. Všechna oznámení jsou anonymně předávána externím právníkům a nelze je technicky dohledat. Pro oznamovatele existuje i možnost zřídit chráněnou poštovní schránku, aby mohli být  anonymně kontaktováni v případě dalších dotazů, a mohli být informováni o dalším průběhu řešení dané záležitosti.</w:t>
      </w:r>
    </w:p>
    <w:p w:rsidR="00CC6088" w:rsidRDefault="00581BAA">
      <w:pPr>
        <w:spacing w:after="614"/>
        <w:ind w:left="-5" w:right="19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45BF65" wp14:editId="23CC36C6">
                <wp:simplePos x="0" y="0"/>
                <wp:positionH relativeFrom="column">
                  <wp:posOffset>5153025</wp:posOffset>
                </wp:positionH>
                <wp:positionV relativeFrom="paragraph">
                  <wp:posOffset>592455</wp:posOffset>
                </wp:positionV>
                <wp:extent cx="4747298" cy="3002606"/>
                <wp:effectExtent l="0" t="0" r="0" b="0"/>
                <wp:wrapSquare wrapText="bothSides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98" cy="3002606"/>
                          <a:chOff x="0" y="0"/>
                          <a:chExt cx="4747298" cy="300260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747298" cy="300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298" h="3002606">
                                <a:moveTo>
                                  <a:pt x="71974" y="0"/>
                                </a:moveTo>
                                <a:lnTo>
                                  <a:pt x="4675325" y="0"/>
                                </a:lnTo>
                                <a:lnTo>
                                  <a:pt x="4703327" y="5655"/>
                                </a:lnTo>
                                <a:cubicBezTo>
                                  <a:pt x="4729168" y="16588"/>
                                  <a:pt x="4747298" y="42182"/>
                                  <a:pt x="4747298" y="72005"/>
                                </a:cubicBezTo>
                                <a:lnTo>
                                  <a:pt x="4747298" y="2930610"/>
                                </a:lnTo>
                                <a:cubicBezTo>
                                  <a:pt x="4747298" y="2970373"/>
                                  <a:pt x="4715066" y="3002606"/>
                                  <a:pt x="4675302" y="3002606"/>
                                </a:cubicBezTo>
                                <a:lnTo>
                                  <a:pt x="71996" y="3002606"/>
                                </a:lnTo>
                                <a:cubicBezTo>
                                  <a:pt x="32233" y="3002606"/>
                                  <a:pt x="0" y="2970373"/>
                                  <a:pt x="0" y="2930610"/>
                                </a:cubicBezTo>
                                <a:lnTo>
                                  <a:pt x="0" y="72005"/>
                                </a:lnTo>
                                <a:cubicBezTo>
                                  <a:pt x="0" y="42182"/>
                                  <a:pt x="18131" y="16588"/>
                                  <a:pt x="43972" y="5655"/>
                                </a:cubicBezTo>
                                <a:lnTo>
                                  <a:pt x="71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15" y="107288"/>
                            <a:ext cx="4601649" cy="27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32"/>
                                </w:rPr>
                                <w:t>Co</w:t>
                              </w:r>
                              <w:r>
                                <w:rPr>
                                  <w:spacing w:val="24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spacing w:val="24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32"/>
                                </w:rPr>
                                <w:t>oznamovacího</w:t>
                              </w:r>
                              <w:r>
                                <w:rPr>
                                  <w:spacing w:val="24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32"/>
                                </w:rPr>
                                <w:t>systému</w:t>
                              </w:r>
                              <w:r>
                                <w:rPr>
                                  <w:spacing w:val="24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32"/>
                                </w:rPr>
                                <w:t>nepatří?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09610" y="334660"/>
                            <a:ext cx="4121573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náznaky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porušení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pracovněprávních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předpisů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52415" y="334660"/>
                            <a:ext cx="212337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3"/>
                                </w:rPr>
                                <w:t>•</w:t>
                              </w:r>
                              <w:r>
                                <w:rPr>
                                  <w:spacing w:val="19"/>
                                  <w:w w:val="1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2415" y="532780"/>
                            <a:ext cx="65875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609610" y="532780"/>
                            <a:ext cx="63020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656993" y="532780"/>
                            <a:ext cx="1288294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např.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prodlení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1625635" y="532780"/>
                            <a:ext cx="63021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52415" y="730900"/>
                            <a:ext cx="212337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3"/>
                                </w:rPr>
                                <w:t>•</w:t>
                              </w:r>
                              <w:r>
                                <w:rPr>
                                  <w:spacing w:val="19"/>
                                  <w:w w:val="1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09610" y="730900"/>
                            <a:ext cx="4347963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odkazy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chování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soukromém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životě,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pokud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267219" y="730900"/>
                            <a:ext cx="65874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09610" y="929021"/>
                            <a:ext cx="4529559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nemůže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mít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přímý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dopad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fungování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sz w:val="24"/>
                                  <w:szCs w:val="24"/>
                                </w:rPr>
                                <w:t>koncernu</w:t>
                              </w:r>
                              <w:r w:rsidRPr="00581BAA">
                                <w:rPr>
                                  <w:spacing w:val="1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267219" y="929021"/>
                            <a:ext cx="65874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2415" y="929021"/>
                            <a:ext cx="65875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09610" y="1127141"/>
                            <a:ext cx="4664997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Schwan</w:t>
                              </w:r>
                              <w:proofErr w:type="spellEnd"/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-STABILO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nesouvisí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pracovním</w:t>
                              </w:r>
                              <w:r w:rsidRPr="00581BAA">
                                <w:rPr>
                                  <w:spacing w:val="19"/>
                                  <w:w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1"/>
                                  <w:sz w:val="24"/>
                                  <w:szCs w:val="24"/>
                                </w:rPr>
                                <w:t>poměrem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52415" y="1127141"/>
                            <a:ext cx="65875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09610" y="1325260"/>
                            <a:ext cx="1985031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w w:val="99"/>
                                  <w:sz w:val="24"/>
                                  <w:szCs w:val="24"/>
                                </w:rPr>
                                <w:t>stížnosti</w:t>
                              </w:r>
                              <w:r w:rsidRPr="00581BAA">
                                <w:rPr>
                                  <w:spacing w:val="1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99"/>
                                  <w:sz w:val="24"/>
                                  <w:szCs w:val="24"/>
                                </w:rPr>
                                <w:t>běžného</w:t>
                              </w:r>
                              <w:r w:rsidRPr="00581BAA">
                                <w:rPr>
                                  <w:spacing w:val="1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99"/>
                                  <w:sz w:val="24"/>
                                  <w:szCs w:val="24"/>
                                </w:rPr>
                                <w:t>rázu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52415" y="1325260"/>
                            <a:ext cx="212337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Default="00B4059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3"/>
                                </w:rPr>
                                <w:t>•</w:t>
                              </w:r>
                              <w:r>
                                <w:rPr>
                                  <w:spacing w:val="19"/>
                                  <w:w w:val="1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2415" y="1721501"/>
                            <a:ext cx="5717284" cy="22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6088" w:rsidRPr="00581BAA" w:rsidRDefault="00B40598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těchto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případech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obraťte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svého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přímého</w:t>
                              </w:r>
                              <w:r w:rsidRPr="00581BAA">
                                <w:rPr>
                                  <w:spacing w:val="19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81BAA">
                                <w:rPr>
                                  <w:w w:val="102"/>
                                  <w:sz w:val="24"/>
                                  <w:szCs w:val="24"/>
                                </w:rPr>
                                <w:t>nadřízeného.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5BF65" id="Group 1598" o:spid="_x0000_s1026" style="position:absolute;left:0;text-align:left;margin-left:405.75pt;margin-top:46.65pt;width:373.8pt;height:236.45pt;z-index:251659264" coordsize="47472,3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">
                <v:shape id="Shape 7" o:spid="_x0000_s1027" style="position:absolute;width:47472;height:30026;visibility:visible;mso-wrap-style:square;v-text-anchor:top" coordsize="4747298,300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" path="m71974,l4675325,r28002,5655c4729168,16588,4747298,42182,4747298,72005r,2858605c4747298,2970373,4715066,3002606,4675302,3002606r-4603306,c32233,3002606,,2970373,,2930610l,72005c,42182,18131,16588,43972,5655l71974,xe" fillcolor="#e72582" stroked="f" strokeweight="0">
                  <v:stroke miterlimit="83231f" joinstyle="miter"/>
                  <v:path arrowok="t" textboxrect="0,0,4747298,3002606"/>
                </v:shape>
                <v:rect id="Rectangle 42" o:spid="_x0000_s1028" style="position:absolute;left:1524;top:1072;width:46016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32"/>
                          </w:rPr>
                          <w:t>Co</w:t>
                        </w:r>
                        <w:r>
                          <w:rPr>
                            <w:spacing w:val="24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32"/>
                          </w:rPr>
                          <w:t>do</w:t>
                        </w:r>
                        <w:r>
                          <w:rPr>
                            <w:spacing w:val="24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32"/>
                          </w:rPr>
                          <w:t>oznamovacího</w:t>
                        </w:r>
                        <w:r>
                          <w:rPr>
                            <w:spacing w:val="24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32"/>
                          </w:rPr>
                          <w:t>systému</w:t>
                        </w:r>
                        <w:r>
                          <w:rPr>
                            <w:spacing w:val="24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32"/>
                          </w:rPr>
                          <w:t>nepatří?</w:t>
                        </w:r>
                      </w:p>
                    </w:txbxContent>
                  </v:textbox>
                </v:rect>
                <v:rect id="Rectangle 166" o:spid="_x0000_s1029" style="position:absolute;left:6096;top:3346;width:41215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náznaky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porušení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pracovněprávních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předpisů</w:t>
                        </w:r>
                      </w:p>
                    </w:txbxContent>
                  </v:textbox>
                </v:rect>
                <v:rect id="Rectangle 165" o:spid="_x0000_s1030" style="position:absolute;left:1524;top:3346;width:2123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33"/>
                          </w:rPr>
                          <w:t>•</w:t>
                        </w:r>
                        <w:r>
                          <w:rPr>
                            <w:spacing w:val="19"/>
                            <w:w w:val="1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31" style="position:absolute;left:1524;top:5327;width:658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2" o:spid="_x0000_s1032" style="position:absolute;left:6096;top:5327;width:630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6"/>
                          </w:rPr>
                          <w:t>(</w:t>
                        </w:r>
                      </w:p>
                    </w:txbxContent>
                  </v:textbox>
                </v:rect>
                <v:rect id="Rectangle 1584" o:spid="_x0000_s1033" style="position:absolute;left:6569;top:5327;width:12883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např.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prodlení</w:t>
                        </w:r>
                      </w:p>
                    </w:txbxContent>
                  </v:textbox>
                </v:rect>
                <v:rect id="Rectangle 1583" o:spid="_x0000_s1034" style="position:absolute;left:16256;top:5327;width:630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6"/>
                          </w:rPr>
                          <w:t>)</w:t>
                        </w:r>
                      </w:p>
                    </w:txbxContent>
                  </v:textbox>
                </v:rect>
                <v:rect id="Rectangle 173" o:spid="_x0000_s1035" style="position:absolute;left:1524;top:7309;width:2123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33"/>
                          </w:rPr>
                          <w:t>•</w:t>
                        </w:r>
                        <w:r>
                          <w:rPr>
                            <w:spacing w:val="19"/>
                            <w:w w:val="1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6" style="position:absolute;left:6096;top:7309;width:4347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sz w:val="24"/>
                            <w:szCs w:val="24"/>
                          </w:rPr>
                          <w:t>odkazy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na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chování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v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soukromém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životě,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pokud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5" o:spid="_x0000_s1037" style="position:absolute;left:42672;top:7309;width:6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8" style="position:absolute;left:6096;top:9290;width:45295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sz w:val="24"/>
                            <w:szCs w:val="24"/>
                          </w:rPr>
                          <w:t>nemůže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mít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přímý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dopad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na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fungování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sz w:val="24"/>
                            <w:szCs w:val="24"/>
                          </w:rPr>
                          <w:t>koncernu</w:t>
                        </w:r>
                        <w:r w:rsidRPr="00581BAA">
                          <w:rPr>
                            <w:spacing w:val="19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0" o:spid="_x0000_s1039" style="position:absolute;left:42672;top:9290;width:6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40" style="position:absolute;left:1524;top:9290;width:6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41" style="position:absolute;left:6096;top:11271;width:4665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Schwan</w:t>
                        </w:r>
                        <w:proofErr w:type="spellEnd"/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-STABILO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a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nesouvisí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s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pracovním</w:t>
                        </w:r>
                        <w:r w:rsidRPr="00581BAA">
                          <w:rPr>
                            <w:spacing w:val="19"/>
                            <w:w w:val="101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1"/>
                            <w:sz w:val="24"/>
                            <w:szCs w:val="24"/>
                          </w:rPr>
                          <w:t>poměrem</w:t>
                        </w:r>
                      </w:p>
                    </w:txbxContent>
                  </v:textbox>
                </v:rect>
                <v:rect id="Rectangle 183" o:spid="_x0000_s1042" style="position:absolute;left:1524;top:11271;width:65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43" style="position:absolute;left:6096;top:13252;width:1985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w w:val="99"/>
                            <w:sz w:val="24"/>
                            <w:szCs w:val="24"/>
                          </w:rPr>
                          <w:t>stížnosti</w:t>
                        </w:r>
                        <w:r w:rsidRPr="00581BAA">
                          <w:rPr>
                            <w:spacing w:val="1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99"/>
                            <w:sz w:val="24"/>
                            <w:szCs w:val="24"/>
                          </w:rPr>
                          <w:t>běžného</w:t>
                        </w:r>
                        <w:r w:rsidRPr="00581BAA">
                          <w:rPr>
                            <w:spacing w:val="1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99"/>
                            <w:sz w:val="24"/>
                            <w:szCs w:val="24"/>
                          </w:rPr>
                          <w:t>rázu</w:t>
                        </w:r>
                      </w:p>
                    </w:txbxContent>
                  </v:textbox>
                </v:rect>
                <v:rect id="Rectangle 187" o:spid="_x0000_s1044" style="position:absolute;left:1524;top:13252;width:2123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CC6088" w:rsidRDefault="00B4059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33"/>
                          </w:rPr>
                          <w:t>•</w:t>
                        </w:r>
                        <w:r>
                          <w:rPr>
                            <w:spacing w:val="19"/>
                            <w:w w:val="1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5" style="position:absolute;left:1524;top:17215;width:5717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C6088" w:rsidRPr="00581BAA" w:rsidRDefault="00B40598">
                        <w:pPr>
                          <w:spacing w:after="160" w:line="259" w:lineRule="auto"/>
                          <w:ind w:left="0" w:right="0" w:firstLine="0"/>
                          <w:rPr>
                            <w:sz w:val="24"/>
                            <w:szCs w:val="24"/>
                          </w:rPr>
                        </w:pP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V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těchto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případech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se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obraťte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na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svého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přímého</w:t>
                        </w:r>
                        <w:r w:rsidRPr="00581BAA">
                          <w:rPr>
                            <w:spacing w:val="19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581BAA">
                          <w:rPr>
                            <w:w w:val="102"/>
                            <w:sz w:val="24"/>
                            <w:szCs w:val="24"/>
                          </w:rPr>
                          <w:t>nadřízeného.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40598" w:rsidRPr="00581BAA">
        <w:rPr>
          <w:sz w:val="24"/>
          <w:szCs w:val="24"/>
        </w:rPr>
        <w:t>Při použití jakéhokoliv z výše uvedených oznamovacích kanálů jsou oznamovatelé chráněni směrnicí EU a nemusí se obávat případných sankcí.</w:t>
      </w:r>
    </w:p>
    <w:p w:rsidR="00CC6088" w:rsidRDefault="00B40598">
      <w:pPr>
        <w:spacing w:after="0" w:line="259" w:lineRule="auto"/>
        <w:ind w:left="294" w:right="196"/>
      </w:pPr>
      <w:r>
        <w:rPr>
          <w:sz w:val="32"/>
        </w:rPr>
        <w:t>Jaké podněty by se měly hlásit?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úplatkářství (včetně pokusu o úplatkářství) nebo korupce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nekalá soutěž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jednání v rozporu s antimonopolním právem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krádež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zpronevěra materiálu</w:t>
      </w:r>
    </w:p>
    <w:p w:rsidR="00CC6088" w:rsidRP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poškození majetku zpronevěrou nebo podvodem</w:t>
      </w:r>
    </w:p>
    <w:p w:rsid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</wp:posOffset>
                </wp:positionH>
                <wp:positionV relativeFrom="paragraph">
                  <wp:posOffset>-1568960</wp:posOffset>
                </wp:positionV>
                <wp:extent cx="4675251" cy="3002606"/>
                <wp:effectExtent l="0" t="0" r="0" b="0"/>
                <wp:wrapNone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251" cy="3002606"/>
                          <a:chOff x="0" y="0"/>
                          <a:chExt cx="4675251" cy="30026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675251" cy="300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5251" h="3002606">
                                <a:moveTo>
                                  <a:pt x="71973" y="0"/>
                                </a:moveTo>
                                <a:lnTo>
                                  <a:pt x="4603278" y="0"/>
                                </a:lnTo>
                                <a:lnTo>
                                  <a:pt x="4631280" y="5655"/>
                                </a:lnTo>
                                <a:cubicBezTo>
                                  <a:pt x="4657121" y="16588"/>
                                  <a:pt x="4675251" y="42182"/>
                                  <a:pt x="4675251" y="72005"/>
                                </a:cubicBezTo>
                                <a:lnTo>
                                  <a:pt x="4675251" y="2930610"/>
                                </a:lnTo>
                                <a:cubicBezTo>
                                  <a:pt x="4675251" y="2970373"/>
                                  <a:pt x="4643019" y="3002606"/>
                                  <a:pt x="4603255" y="3002606"/>
                                </a:cubicBezTo>
                                <a:lnTo>
                                  <a:pt x="71996" y="3002606"/>
                                </a:lnTo>
                                <a:cubicBezTo>
                                  <a:pt x="32233" y="3002606"/>
                                  <a:pt x="0" y="2970373"/>
                                  <a:pt x="0" y="2930610"/>
                                </a:cubicBezTo>
                                <a:lnTo>
                                  <a:pt x="0" y="72005"/>
                                </a:lnTo>
                                <a:cubicBezTo>
                                  <a:pt x="0" y="42182"/>
                                  <a:pt x="18131" y="16588"/>
                                  <a:pt x="43972" y="5655"/>
                                </a:cubicBezTo>
                                <a:lnTo>
                                  <a:pt x="71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7" style="width:368.13pt;height:236.426pt;position:absolute;z-index:-2147483648;mso-position-horizontal-relative:text;mso-position-horizontal:absolute;margin-left:0.019104pt;mso-position-vertical-relative:text;margin-top:-123.54pt;" coordsize="46752,30026">
                <v:shape id="Shape 6" style="position:absolute;width:46752;height:30026;left:0;top:0;" coordsize="4675251,3002606" path="m71973,0l4603278,0l4631280,5655c4657121,16588,4675251,42182,4675251,72005l4675251,2930610c4675251,2970373,4643019,3002606,4603255,3002606l71996,3002606c32233,3002606,0,2970373,0,2930610l0,72005c0,42182,18131,16588,43972,5655l71973,0x">
                  <v:stroke weight="0pt" endcap="flat" joinstyle="miter" miterlimit="10" on="false" color="#000000" opacity="0"/>
                  <v:fill on="true" color="#8cbd3a"/>
                </v:shape>
              </v:group>
            </w:pict>
          </mc:Fallback>
        </mc:AlternateContent>
      </w:r>
      <w:r w:rsidRPr="00581BAA">
        <w:rPr>
          <w:sz w:val="24"/>
          <w:szCs w:val="24"/>
        </w:rPr>
        <w:t>porušení ochrany údajů a manipulace s</w:t>
      </w:r>
      <w:r w:rsidR="00581BAA">
        <w:rPr>
          <w:sz w:val="24"/>
          <w:szCs w:val="24"/>
        </w:rPr>
        <w:t> </w:t>
      </w:r>
      <w:r w:rsidRPr="00581BAA">
        <w:rPr>
          <w:sz w:val="24"/>
          <w:szCs w:val="24"/>
        </w:rPr>
        <w:t>dokumenty</w:t>
      </w:r>
    </w:p>
    <w:p w:rsid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 xml:space="preserve">porušení předpisů bezpečnosti práce nebo ochrany   </w:t>
      </w:r>
    </w:p>
    <w:p w:rsidR="00CC6088" w:rsidRPr="00581BAA" w:rsidRDefault="00581BAA" w:rsidP="00581BAA">
      <w:pPr>
        <w:ind w:left="580" w:right="196" w:firstLine="424"/>
        <w:rPr>
          <w:sz w:val="24"/>
          <w:szCs w:val="24"/>
        </w:rPr>
      </w:pPr>
      <w:r>
        <w:rPr>
          <w:sz w:val="24"/>
          <w:szCs w:val="24"/>
        </w:rPr>
        <w:t>ž</w:t>
      </w:r>
      <w:r w:rsidR="00B40598" w:rsidRPr="00581BAA">
        <w:rPr>
          <w:sz w:val="24"/>
          <w:szCs w:val="24"/>
        </w:rPr>
        <w:t>ivotního prostředí</w:t>
      </w:r>
    </w:p>
    <w:p w:rsidR="00581BAA" w:rsidRDefault="00B40598">
      <w:pPr>
        <w:numPr>
          <w:ilvl w:val="0"/>
          <w:numId w:val="2"/>
        </w:numPr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hrubě nevhodné společenské chování, #</w:t>
      </w:r>
      <w:proofErr w:type="spellStart"/>
      <w:r w:rsidRPr="00581BAA">
        <w:rPr>
          <w:sz w:val="24"/>
          <w:szCs w:val="24"/>
        </w:rPr>
        <w:t>MeToo</w:t>
      </w:r>
      <w:proofErr w:type="spellEnd"/>
      <w:r w:rsidRPr="00581BAA">
        <w:rPr>
          <w:sz w:val="24"/>
          <w:szCs w:val="24"/>
        </w:rPr>
        <w:t xml:space="preserve">,  </w:t>
      </w:r>
    </w:p>
    <w:p w:rsidR="00CC6088" w:rsidRPr="00581BAA" w:rsidRDefault="00581BAA" w:rsidP="002E0BEF">
      <w:pPr>
        <w:ind w:left="1004" w:right="196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B40598" w:rsidRPr="00581BAA">
        <w:rPr>
          <w:sz w:val="24"/>
          <w:szCs w:val="24"/>
        </w:rPr>
        <w:t>iskriminace, obtěžování</w:t>
      </w:r>
    </w:p>
    <w:p w:rsidR="00CC6088" w:rsidRPr="00581BAA" w:rsidRDefault="00B40598">
      <w:pPr>
        <w:numPr>
          <w:ilvl w:val="0"/>
          <w:numId w:val="2"/>
        </w:numPr>
        <w:spacing w:after="691"/>
        <w:ind w:right="196" w:hanging="720"/>
        <w:rPr>
          <w:sz w:val="24"/>
          <w:szCs w:val="24"/>
        </w:rPr>
      </w:pPr>
      <w:r w:rsidRPr="00581BAA">
        <w:rPr>
          <w:sz w:val="24"/>
          <w:szCs w:val="24"/>
        </w:rPr>
        <w:t>nucená a dětská práce</w:t>
      </w:r>
    </w:p>
    <w:p w:rsidR="00CC6088" w:rsidRDefault="00B40598">
      <w:pPr>
        <w:spacing w:after="0" w:line="259" w:lineRule="auto"/>
        <w:ind w:left="-5" w:right="196"/>
      </w:pPr>
      <w:r>
        <w:rPr>
          <w:sz w:val="32"/>
        </w:rPr>
        <w:t>Co se stane, když je prostřednictvím systému BKMS® podáno oznámení?</w:t>
      </w:r>
    </w:p>
    <w:p w:rsidR="00CC6088" w:rsidRPr="001C516E" w:rsidRDefault="00B40598">
      <w:pPr>
        <w:numPr>
          <w:ilvl w:val="0"/>
          <w:numId w:val="3"/>
        </w:numPr>
        <w:ind w:right="196" w:hanging="720"/>
        <w:rPr>
          <w:sz w:val="24"/>
          <w:szCs w:val="24"/>
        </w:rPr>
      </w:pPr>
      <w:r w:rsidRPr="001C516E">
        <w:rPr>
          <w:sz w:val="24"/>
          <w:szCs w:val="24"/>
        </w:rPr>
        <w:t>Oznamovatel nahlásí incident prostřednictvím našeho oznamovacího systému.</w:t>
      </w:r>
    </w:p>
    <w:p w:rsidR="00CC6088" w:rsidRPr="001C516E" w:rsidRDefault="00B40598">
      <w:pPr>
        <w:numPr>
          <w:ilvl w:val="0"/>
          <w:numId w:val="3"/>
        </w:numPr>
        <w:ind w:right="196" w:hanging="720"/>
        <w:rPr>
          <w:sz w:val="24"/>
          <w:szCs w:val="24"/>
        </w:rPr>
      </w:pPr>
      <w:r w:rsidRPr="001C516E">
        <w:rPr>
          <w:sz w:val="24"/>
          <w:szCs w:val="24"/>
        </w:rPr>
        <w:t>Oznámení je přezkoumáno a zpracováno externí advokátní kanceláří.</w:t>
      </w:r>
    </w:p>
    <w:p w:rsidR="00CC6088" w:rsidRPr="001C516E" w:rsidRDefault="00B40598">
      <w:pPr>
        <w:numPr>
          <w:ilvl w:val="0"/>
          <w:numId w:val="3"/>
        </w:numPr>
        <w:ind w:right="196" w:hanging="720"/>
        <w:rPr>
          <w:sz w:val="24"/>
          <w:szCs w:val="24"/>
        </w:rPr>
      </w:pPr>
      <w:r w:rsidRPr="001C516E">
        <w:rPr>
          <w:sz w:val="24"/>
          <w:szCs w:val="24"/>
        </w:rPr>
        <w:t>Pokud má oznamovatel zřízenu chráněnou schránku, může dále objasnit následné dotazy (v případě potřeby anonymně).</w:t>
      </w:r>
    </w:p>
    <w:p w:rsidR="00CC6088" w:rsidRPr="001C516E" w:rsidRDefault="00B40598">
      <w:pPr>
        <w:numPr>
          <w:ilvl w:val="0"/>
          <w:numId w:val="3"/>
        </w:numPr>
        <w:ind w:right="196" w:hanging="720"/>
        <w:rPr>
          <w:sz w:val="24"/>
          <w:szCs w:val="24"/>
        </w:rPr>
      </w:pPr>
      <w:r w:rsidRPr="001C516E">
        <w:rPr>
          <w:sz w:val="24"/>
          <w:szCs w:val="24"/>
        </w:rPr>
        <w:t>Advokátní kancelář předá příslušný případ našemu pověřenci pro dodržování předpisů (v případě potřeby anonymně).</w:t>
      </w:r>
    </w:p>
    <w:p w:rsidR="00CC6088" w:rsidRPr="001C516E" w:rsidRDefault="00B40598">
      <w:pPr>
        <w:numPr>
          <w:ilvl w:val="0"/>
          <w:numId w:val="3"/>
        </w:numPr>
        <w:spacing w:after="351"/>
        <w:ind w:right="196" w:hanging="720"/>
        <w:rPr>
          <w:sz w:val="24"/>
          <w:szCs w:val="24"/>
        </w:rPr>
      </w:pPr>
      <w:r w:rsidRPr="001C516E">
        <w:rPr>
          <w:sz w:val="24"/>
          <w:szCs w:val="24"/>
        </w:rPr>
        <w:t>Oznámení interně sledujeme a chráníme zejména zájmy osob, kterých se oznámení přímo týká.</w:t>
      </w:r>
    </w:p>
    <w:p w:rsidR="00CC6088" w:rsidRDefault="00B40598">
      <w:pPr>
        <w:spacing w:after="0" w:line="259" w:lineRule="auto"/>
        <w:ind w:left="-5" w:right="196"/>
      </w:pPr>
      <w:r>
        <w:rPr>
          <w:sz w:val="32"/>
        </w:rPr>
        <w:t>Jako oznamovatel bych rád zůstal v anonymitě. Jak je to zajištěno?</w:t>
      </w:r>
    </w:p>
    <w:p w:rsidR="00CC6088" w:rsidRPr="002E0BEF" w:rsidRDefault="00B40598" w:rsidP="00A702CD">
      <w:pPr>
        <w:pStyle w:val="Odstavecseseznamem"/>
        <w:numPr>
          <w:ilvl w:val="0"/>
          <w:numId w:val="5"/>
        </w:numPr>
        <w:ind w:right="98"/>
        <w:jc w:val="both"/>
        <w:rPr>
          <w:sz w:val="24"/>
          <w:szCs w:val="24"/>
        </w:rPr>
      </w:pPr>
      <w:r w:rsidRPr="002E0BEF">
        <w:rPr>
          <w:sz w:val="24"/>
          <w:szCs w:val="24"/>
        </w:rPr>
        <w:t>Při využití telefonních linek může být zjištěno vaše telefonní číslo a při odesílání e-mailu vaše IP adresa. E</w:t>
      </w:r>
      <w:r w:rsidR="00A702CD">
        <w:rPr>
          <w:sz w:val="24"/>
          <w:szCs w:val="24"/>
        </w:rPr>
        <w:t xml:space="preserve">lektronický oznamovací systém </w:t>
      </w:r>
      <w:r w:rsidRPr="002E0BEF">
        <w:rPr>
          <w:sz w:val="24"/>
          <w:szCs w:val="24"/>
        </w:rPr>
        <w:t>FSPP BKMS</w:t>
      </w:r>
      <w:r w:rsidRPr="002E0BEF">
        <w:rPr>
          <w:sz w:val="24"/>
          <w:szCs w:val="24"/>
          <w:vertAlign w:val="superscript"/>
        </w:rPr>
        <w:t>®</w:t>
      </w:r>
      <w:r w:rsidRPr="002E0BEF">
        <w:rPr>
          <w:sz w:val="24"/>
          <w:szCs w:val="24"/>
        </w:rPr>
        <w:t xml:space="preserve"> umožňuje údaje předávat nepřímo, protože nabízí nejvyšší možné zabezpečení a šifrování zasílaných údajů. Pokud se rozhodnete   </w:t>
      </w:r>
      <w:r w:rsidRPr="002E0BEF">
        <w:rPr>
          <w:sz w:val="24"/>
          <w:szCs w:val="24"/>
        </w:rPr>
        <w:tab/>
        <w:t>odeslat zprávu anonymně, ani poskytovatel této služby nebude moci vysledovat, odkud přišla.</w:t>
      </w:r>
    </w:p>
    <w:p w:rsidR="00CC6088" w:rsidRPr="00A702CD" w:rsidRDefault="00B40598" w:rsidP="00A702CD">
      <w:pPr>
        <w:pStyle w:val="Odstavecseseznamem"/>
        <w:numPr>
          <w:ilvl w:val="0"/>
          <w:numId w:val="5"/>
        </w:numPr>
        <w:ind w:right="98"/>
        <w:jc w:val="both"/>
        <w:rPr>
          <w:sz w:val="24"/>
          <w:szCs w:val="24"/>
        </w:rPr>
      </w:pPr>
      <w:r w:rsidRPr="00A702CD">
        <w:rPr>
          <w:sz w:val="24"/>
          <w:szCs w:val="24"/>
        </w:rPr>
        <w:t>Navíc si můžete aktivovat chráněnou poštovní schránku, abyste i nadále mohli být v kontaktu s externím</w:t>
      </w:r>
      <w:r w:rsidR="00A702CD">
        <w:rPr>
          <w:sz w:val="24"/>
          <w:szCs w:val="24"/>
        </w:rPr>
        <w:t xml:space="preserve">i advokáty, např. za účelem </w:t>
      </w:r>
      <w:r w:rsidRPr="00A702CD">
        <w:rPr>
          <w:sz w:val="24"/>
          <w:szCs w:val="24"/>
        </w:rPr>
        <w:t xml:space="preserve">zodpovězení doplňujících dotazů nebo výměny důležitých dokumentů. I tento způsob je naprosto diskrétní – sami se můžete rozhodnout, zda   </w:t>
      </w:r>
      <w:r w:rsidRPr="00A702CD">
        <w:rPr>
          <w:sz w:val="24"/>
          <w:szCs w:val="24"/>
        </w:rPr>
        <w:tab/>
        <w:t>chcete uvést své jméno, nebo ne.</w:t>
      </w:r>
      <w:bookmarkStart w:id="0" w:name="_GoBack"/>
      <w:bookmarkEnd w:id="0"/>
    </w:p>
    <w:sectPr w:rsidR="00CC6088" w:rsidRPr="00A702CD" w:rsidSect="001C516E">
      <w:pgSz w:w="16838" w:h="23811"/>
      <w:pgMar w:top="720" w:right="720" w:bottom="720" w:left="720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368"/>
    <w:multiLevelType w:val="hybridMultilevel"/>
    <w:tmpl w:val="5B1A5D04"/>
    <w:lvl w:ilvl="0" w:tplc="CAF82F7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6220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9C31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94BB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66BD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C4A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0D3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825E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70E0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C1E1C"/>
    <w:multiLevelType w:val="hybridMultilevel"/>
    <w:tmpl w:val="3F506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6F"/>
    <w:multiLevelType w:val="hybridMultilevel"/>
    <w:tmpl w:val="948A081E"/>
    <w:lvl w:ilvl="0" w:tplc="E67CAB2C">
      <w:start w:val="1"/>
      <w:numFmt w:val="bullet"/>
      <w:lvlText w:val="•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7CEB24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4762A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605B42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28BC9E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F0F73C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BC0618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F2DADC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8AFA72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0B20FB"/>
    <w:multiLevelType w:val="hybridMultilevel"/>
    <w:tmpl w:val="021AEC5E"/>
    <w:lvl w:ilvl="0" w:tplc="6BEE0B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8C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20E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F2E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0EE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A62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7C55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6E2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EEF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51CAD"/>
    <w:multiLevelType w:val="hybridMultilevel"/>
    <w:tmpl w:val="A7167E68"/>
    <w:lvl w:ilvl="0" w:tplc="F16EBFE0">
      <w:start w:val="1"/>
      <w:numFmt w:val="bullet"/>
      <w:lvlText w:val="•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E8006">
      <w:start w:val="1"/>
      <w:numFmt w:val="bullet"/>
      <w:lvlText w:val="o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A071E">
      <w:start w:val="1"/>
      <w:numFmt w:val="bullet"/>
      <w:lvlText w:val="▪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A434A">
      <w:start w:val="1"/>
      <w:numFmt w:val="bullet"/>
      <w:lvlText w:val="•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E2C64">
      <w:start w:val="1"/>
      <w:numFmt w:val="bullet"/>
      <w:lvlText w:val="o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EC54A">
      <w:start w:val="1"/>
      <w:numFmt w:val="bullet"/>
      <w:lvlText w:val="▪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64C2C">
      <w:start w:val="1"/>
      <w:numFmt w:val="bullet"/>
      <w:lvlText w:val="•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32AA">
      <w:start w:val="1"/>
      <w:numFmt w:val="bullet"/>
      <w:lvlText w:val="o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84510">
      <w:start w:val="1"/>
      <w:numFmt w:val="bullet"/>
      <w:lvlText w:val="▪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8"/>
    <w:rsid w:val="00050E4B"/>
    <w:rsid w:val="001C516E"/>
    <w:rsid w:val="002E0BEF"/>
    <w:rsid w:val="00581BAA"/>
    <w:rsid w:val="00A702CD"/>
    <w:rsid w:val="00B40598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A59"/>
  <w15:docId w15:val="{D9546B93-C343-498C-8FD7-0F870282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1" w:lineRule="auto"/>
      <w:ind w:left="10" w:right="200" w:hanging="10"/>
    </w:pPr>
    <w:rPr>
      <w:rFonts w:ascii="Calibri" w:eastAsia="Calibri" w:hAnsi="Calibri" w:cs="Calibri"/>
      <w:color w:val="181717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6"/>
      <w:outlineLvl w:val="0"/>
    </w:pPr>
    <w:rPr>
      <w:rFonts w:ascii="Calibri" w:eastAsia="Calibri" w:hAnsi="Calibri" w:cs="Calibri"/>
      <w:color w:val="B92E27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B92E27"/>
      <w:sz w:val="34"/>
    </w:rPr>
  </w:style>
  <w:style w:type="paragraph" w:styleId="Odstavecseseznamem">
    <w:name w:val="List Paragraph"/>
    <w:basedOn w:val="Normln"/>
    <w:uiPriority w:val="34"/>
    <w:qFormat/>
    <w:rsid w:val="002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Leták - Whistleblowing 2021-07-27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Leták - Whistleblowing 2021-07-27</dc:title>
  <dc:subject/>
  <dc:creator>Jílková, Vanda</dc:creator>
  <cp:keywords/>
  <cp:lastModifiedBy>Jílková, Vanda</cp:lastModifiedBy>
  <cp:revision>6</cp:revision>
  <dcterms:created xsi:type="dcterms:W3CDTF">2021-11-12T06:41:00Z</dcterms:created>
  <dcterms:modified xsi:type="dcterms:W3CDTF">2021-11-12T12:05:00Z</dcterms:modified>
</cp:coreProperties>
</file>